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BCD4" w14:textId="77777777" w:rsidR="00A63304" w:rsidRDefault="00AE6149" w:rsidP="00AE6149">
      <w:pPr>
        <w:rPr>
          <w:rFonts w:ascii="Calibri" w:hAnsi="Calibri" w:cs="Calibri"/>
          <w:szCs w:val="24"/>
        </w:rPr>
      </w:pPr>
      <w:bookmarkStart w:id="0" w:name="_Hlk149400465"/>
      <w:r>
        <w:rPr>
          <w:rFonts w:ascii="Calibri" w:hAnsi="Calibri" w:cs="Calibri"/>
          <w:szCs w:val="24"/>
        </w:rPr>
        <w:t>S</w:t>
      </w:r>
      <w:r w:rsidR="00A63304">
        <w:rPr>
          <w:rFonts w:ascii="Calibri" w:hAnsi="Calibri" w:cs="Calibri"/>
          <w:szCs w:val="24"/>
        </w:rPr>
        <w:t>upplementary material I</w:t>
      </w:r>
    </w:p>
    <w:p w14:paraId="07AB6ABE" w14:textId="52CA82A4" w:rsidR="00AE6149" w:rsidRPr="00AE6149" w:rsidRDefault="00A63304" w:rsidP="00AE6149">
      <w:pPr>
        <w:rPr>
          <w:rFonts w:ascii="Calibri" w:hAnsi="Calibri" w:cs="Calibri"/>
          <w:szCs w:val="24"/>
        </w:rPr>
      </w:pPr>
      <w:r>
        <w:rPr>
          <w:rFonts w:ascii="Calibri" w:hAnsi="Calibri" w:cs="Calibri"/>
          <w:szCs w:val="24"/>
        </w:rPr>
        <w:t>The f</w:t>
      </w:r>
      <w:r w:rsidR="00AE6149" w:rsidRPr="00AE6149">
        <w:rPr>
          <w:rFonts w:ascii="Calibri" w:hAnsi="Calibri" w:cs="Calibri"/>
          <w:szCs w:val="24"/>
        </w:rPr>
        <w:t xml:space="preserve">ive interconnected stages </w:t>
      </w:r>
      <w:r>
        <w:rPr>
          <w:rFonts w:ascii="Calibri" w:hAnsi="Calibri" w:cs="Calibri"/>
          <w:szCs w:val="24"/>
        </w:rPr>
        <w:t xml:space="preserve">of Framework analysis </w:t>
      </w:r>
      <w:r w:rsidR="00AE6149" w:rsidRPr="00AE6149">
        <w:rPr>
          <w:rFonts w:ascii="Calibri" w:hAnsi="Calibri" w:cs="Calibri"/>
          <w:szCs w:val="24"/>
        </w:rPr>
        <w:fldChar w:fldCharType="begin">
          <w:fldData xml:space="preserve">PEVuZE5vdGU+PENpdGU+PEF1dGhvcj5Qb3BlPC9BdXRob3I+PFllYXI+MjAwMDwvWWVhcj48UmVj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</w:fldData>
        </w:fldChar>
      </w:r>
      <w:r w:rsidR="00AE6149" w:rsidRPr="00AE6149">
        <w:rPr>
          <w:rFonts w:ascii="Calibri" w:hAnsi="Calibri" w:cs="Calibri"/>
          <w:szCs w:val="24"/>
        </w:rPr>
        <w:instrText xml:space="preserve"> ADDIN EN.CITE </w:instrText>
      </w:r>
      <w:r w:rsidR="00AE6149" w:rsidRPr="00AE6149">
        <w:rPr>
          <w:rFonts w:ascii="Calibri" w:hAnsi="Calibri" w:cs="Calibri"/>
          <w:szCs w:val="24"/>
        </w:rPr>
        <w:fldChar w:fldCharType="begin">
          <w:fldData xml:space="preserve">PEVuZE5vdGU+PENpdGU+PEF1dGhvcj5Qb3BlPC9BdXRob3I+PFllYXI+MjAwMDwvWWVhcj48UmVj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</w:fldData>
        </w:fldChar>
      </w:r>
      <w:r w:rsidR="00AE6149" w:rsidRPr="00AE6149">
        <w:rPr>
          <w:rFonts w:ascii="Calibri" w:hAnsi="Calibri" w:cs="Calibri"/>
          <w:szCs w:val="24"/>
        </w:rPr>
        <w:instrText xml:space="preserve"> ADDIN EN.CITE.DATA </w:instrText>
      </w:r>
      <w:r w:rsidR="00AE6149" w:rsidRPr="00AE6149">
        <w:rPr>
          <w:rFonts w:ascii="Calibri" w:hAnsi="Calibri" w:cs="Calibri"/>
          <w:szCs w:val="24"/>
        </w:rPr>
      </w:r>
      <w:r w:rsidR="00AE6149" w:rsidRPr="00AE6149">
        <w:rPr>
          <w:rFonts w:ascii="Calibri" w:hAnsi="Calibri" w:cs="Calibri"/>
          <w:szCs w:val="24"/>
        </w:rPr>
        <w:fldChar w:fldCharType="end"/>
      </w:r>
      <w:r w:rsidR="00AE6149" w:rsidRPr="00AE6149">
        <w:rPr>
          <w:rFonts w:ascii="Calibri" w:hAnsi="Calibri" w:cs="Calibri"/>
          <w:szCs w:val="24"/>
        </w:rPr>
      </w:r>
      <w:r w:rsidR="00AE6149" w:rsidRPr="00AE6149">
        <w:rPr>
          <w:rFonts w:ascii="Calibri" w:hAnsi="Calibri" w:cs="Calibri"/>
          <w:szCs w:val="24"/>
        </w:rPr>
        <w:fldChar w:fldCharType="separate"/>
      </w:r>
      <w:r w:rsidR="00AE6149" w:rsidRPr="00AE6149">
        <w:rPr>
          <w:rFonts w:ascii="Calibri" w:hAnsi="Calibri" w:cs="Calibri"/>
          <w:noProof/>
          <w:szCs w:val="24"/>
        </w:rPr>
        <w:t>(Pope et al., 2000, Ritchie and Spencer, 1994)</w:t>
      </w:r>
      <w:r w:rsidR="00AE6149" w:rsidRPr="00AE6149">
        <w:rPr>
          <w:rFonts w:ascii="Calibri" w:hAnsi="Calibri" w:cs="Calibri"/>
          <w:szCs w:val="24"/>
        </w:rPr>
        <w:fldChar w:fldCharType="end"/>
      </w:r>
      <w:r w:rsidR="00AE6149" w:rsidRPr="00AE6149">
        <w:rPr>
          <w:rFonts w:ascii="Calibri" w:hAnsi="Calibri" w:cs="Calibri"/>
          <w:szCs w:val="24"/>
        </w:rPr>
        <w:t xml:space="preserve">. </w:t>
      </w:r>
      <w:bookmarkEnd w:id="0"/>
    </w:p>
    <w:tbl>
      <w:tblPr>
        <w:tblStyle w:val="GridTable1Light-Accent1"/>
        <w:tblW w:w="0" w:type="auto"/>
        <w:tblLook w:val="04A0" w:firstRow="1" w:lastRow="0" w:firstColumn="1" w:lastColumn="0" w:noHBand="0" w:noVBand="1"/>
      </w:tblPr>
      <w:tblGrid>
        <w:gridCol w:w="2106"/>
        <w:gridCol w:w="6436"/>
      </w:tblGrid>
      <w:tr w:rsidR="00AE6149" w:rsidRPr="00AE6149" w14:paraId="107D1E8B" w14:textId="77777777" w:rsidTr="003D2868">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106" w:type="dxa"/>
            <w:vAlign w:val="center"/>
          </w:tcPr>
          <w:p w14:paraId="562AA2BC" w14:textId="77777777" w:rsidR="00AE6149" w:rsidRPr="00AE6149" w:rsidRDefault="00AE6149" w:rsidP="003D2868">
            <w:pPr>
              <w:spacing w:line="240" w:lineRule="auto"/>
              <w:contextualSpacing/>
              <w:jc w:val="center"/>
              <w:rPr>
                <w:rFonts w:ascii="Calibri" w:hAnsi="Calibri" w:cs="Calibri"/>
                <w:sz w:val="24"/>
                <w:szCs w:val="24"/>
              </w:rPr>
            </w:pPr>
            <w:r w:rsidRPr="00AE6149">
              <w:rPr>
                <w:rFonts w:ascii="Calibri" w:hAnsi="Calibri" w:cs="Calibri"/>
                <w:sz w:val="24"/>
                <w:szCs w:val="24"/>
              </w:rPr>
              <w:t>Stage</w:t>
            </w:r>
          </w:p>
        </w:tc>
        <w:tc>
          <w:tcPr>
            <w:tcW w:w="6436" w:type="dxa"/>
            <w:vAlign w:val="center"/>
          </w:tcPr>
          <w:p w14:paraId="3CB1EA7A" w14:textId="77777777" w:rsidR="00AE6149" w:rsidRPr="00AE6149" w:rsidRDefault="00AE6149" w:rsidP="003D2868">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AE6149">
              <w:rPr>
                <w:rFonts w:ascii="Calibri" w:hAnsi="Calibri" w:cs="Calibri"/>
                <w:sz w:val="24"/>
                <w:szCs w:val="24"/>
              </w:rPr>
              <w:t>Description</w:t>
            </w:r>
          </w:p>
        </w:tc>
      </w:tr>
      <w:tr w:rsidR="00AE6149" w:rsidRPr="00AE6149" w14:paraId="2F4E7932" w14:textId="77777777" w:rsidTr="003D2868">
        <w:trPr>
          <w:trHeight w:val="876"/>
        </w:trPr>
        <w:tc>
          <w:tcPr>
            <w:cnfStyle w:val="001000000000" w:firstRow="0" w:lastRow="0" w:firstColumn="1" w:lastColumn="0" w:oddVBand="0" w:evenVBand="0" w:oddHBand="0" w:evenHBand="0" w:firstRowFirstColumn="0" w:firstRowLastColumn="0" w:lastRowFirstColumn="0" w:lastRowLastColumn="0"/>
            <w:tcW w:w="2106" w:type="dxa"/>
            <w:vAlign w:val="center"/>
          </w:tcPr>
          <w:p w14:paraId="2B097444" w14:textId="77777777" w:rsidR="00AE6149" w:rsidRPr="00AE6149" w:rsidRDefault="00AE6149" w:rsidP="003D2868">
            <w:pPr>
              <w:spacing w:after="0" w:line="240" w:lineRule="auto"/>
              <w:contextualSpacing/>
              <w:jc w:val="left"/>
              <w:rPr>
                <w:rFonts w:ascii="Calibri" w:hAnsi="Calibri" w:cs="Calibri"/>
                <w:color w:val="002060"/>
                <w:sz w:val="24"/>
                <w:szCs w:val="24"/>
              </w:rPr>
            </w:pPr>
            <w:r w:rsidRPr="00AE6149">
              <w:rPr>
                <w:rFonts w:ascii="Calibri" w:hAnsi="Calibri" w:cs="Calibri"/>
                <w:color w:val="002060"/>
                <w:sz w:val="24"/>
                <w:szCs w:val="24"/>
              </w:rPr>
              <w:t>Familiarisation</w:t>
            </w:r>
          </w:p>
        </w:tc>
        <w:tc>
          <w:tcPr>
            <w:tcW w:w="6436" w:type="dxa"/>
            <w:vAlign w:val="center"/>
          </w:tcPr>
          <w:p w14:paraId="24BE3044" w14:textId="77777777" w:rsidR="00AE6149" w:rsidRPr="00AE6149" w:rsidRDefault="00AE6149" w:rsidP="003D2868">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AE6149">
              <w:rPr>
                <w:rFonts w:ascii="Calibri" w:hAnsi="Calibri" w:cs="Calibri"/>
                <w:sz w:val="24"/>
                <w:szCs w:val="24"/>
              </w:rPr>
              <w:t>Immersion in the raw data; listening to tapes, reading transcripts, studying notes. Gain an overview of the data. List key ideas and recurrent themes.</w:t>
            </w:r>
          </w:p>
        </w:tc>
      </w:tr>
      <w:tr w:rsidR="00AE6149" w:rsidRPr="00AE6149" w14:paraId="5BA594BD" w14:textId="77777777" w:rsidTr="003D2868">
        <w:trPr>
          <w:trHeight w:val="1350"/>
        </w:trPr>
        <w:tc>
          <w:tcPr>
            <w:cnfStyle w:val="001000000000" w:firstRow="0" w:lastRow="0" w:firstColumn="1" w:lastColumn="0" w:oddVBand="0" w:evenVBand="0" w:oddHBand="0" w:evenHBand="0" w:firstRowFirstColumn="0" w:firstRowLastColumn="0" w:lastRowFirstColumn="0" w:lastRowLastColumn="0"/>
            <w:tcW w:w="2106" w:type="dxa"/>
            <w:vAlign w:val="center"/>
          </w:tcPr>
          <w:p w14:paraId="708C3A7E" w14:textId="77777777" w:rsidR="00AE6149" w:rsidRPr="00AE6149" w:rsidRDefault="00AE6149" w:rsidP="003D2868">
            <w:pPr>
              <w:spacing w:after="0" w:line="240" w:lineRule="auto"/>
              <w:contextualSpacing/>
              <w:jc w:val="left"/>
              <w:rPr>
                <w:rFonts w:ascii="Calibri" w:hAnsi="Calibri" w:cs="Calibri"/>
                <w:color w:val="002060"/>
                <w:sz w:val="24"/>
                <w:szCs w:val="24"/>
              </w:rPr>
            </w:pPr>
            <w:r w:rsidRPr="00AE6149">
              <w:rPr>
                <w:rFonts w:ascii="Calibri" w:hAnsi="Calibri" w:cs="Calibri"/>
                <w:color w:val="002060"/>
                <w:sz w:val="24"/>
                <w:szCs w:val="24"/>
              </w:rPr>
              <w:t>Identifying a thematic framework</w:t>
            </w:r>
          </w:p>
        </w:tc>
        <w:tc>
          <w:tcPr>
            <w:tcW w:w="6436" w:type="dxa"/>
            <w:vAlign w:val="center"/>
          </w:tcPr>
          <w:p w14:paraId="4EACF0FA" w14:textId="77777777" w:rsidR="00AE6149" w:rsidRPr="00AE6149" w:rsidRDefault="00AE6149" w:rsidP="003D2868">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AE6149">
              <w:rPr>
                <w:rFonts w:ascii="Calibri" w:hAnsi="Calibri" w:cs="Calibri"/>
                <w:sz w:val="24"/>
                <w:szCs w:val="24"/>
              </w:rPr>
              <w:t xml:space="preserve">Identify all key issues, concepts, and themes to construct the framework. Use </w:t>
            </w:r>
            <w:r w:rsidRPr="00AE6149">
              <w:rPr>
                <w:rFonts w:ascii="Calibri" w:hAnsi="Calibri" w:cs="Calibri"/>
                <w:i/>
                <w:iCs/>
                <w:sz w:val="24"/>
                <w:szCs w:val="24"/>
              </w:rPr>
              <w:t>a priori</w:t>
            </w:r>
            <w:r w:rsidRPr="00AE6149">
              <w:rPr>
                <w:rFonts w:ascii="Calibri" w:hAnsi="Calibri" w:cs="Calibri"/>
                <w:sz w:val="24"/>
                <w:szCs w:val="24"/>
              </w:rPr>
              <w:t xml:space="preserve"> issues and questions derived from the aims and objectives of the study, as well as issues raised by the respondents themselves and views or experiences that recur in the data.</w:t>
            </w:r>
          </w:p>
        </w:tc>
      </w:tr>
      <w:tr w:rsidR="00AE6149" w:rsidRPr="00AE6149" w14:paraId="581BBD51" w14:textId="77777777" w:rsidTr="003D2868">
        <w:trPr>
          <w:trHeight w:val="1579"/>
        </w:trPr>
        <w:tc>
          <w:tcPr>
            <w:cnfStyle w:val="001000000000" w:firstRow="0" w:lastRow="0" w:firstColumn="1" w:lastColumn="0" w:oddVBand="0" w:evenVBand="0" w:oddHBand="0" w:evenHBand="0" w:firstRowFirstColumn="0" w:firstRowLastColumn="0" w:lastRowFirstColumn="0" w:lastRowLastColumn="0"/>
            <w:tcW w:w="2106" w:type="dxa"/>
            <w:vAlign w:val="center"/>
          </w:tcPr>
          <w:p w14:paraId="7A480267" w14:textId="77777777" w:rsidR="00AE6149" w:rsidRPr="00AE6149" w:rsidRDefault="00AE6149" w:rsidP="003D2868">
            <w:pPr>
              <w:spacing w:after="0" w:line="240" w:lineRule="auto"/>
              <w:contextualSpacing/>
              <w:jc w:val="left"/>
              <w:rPr>
                <w:rFonts w:ascii="Calibri" w:hAnsi="Calibri" w:cs="Calibri"/>
                <w:color w:val="002060"/>
                <w:sz w:val="24"/>
                <w:szCs w:val="24"/>
              </w:rPr>
            </w:pPr>
            <w:r w:rsidRPr="00AE6149">
              <w:rPr>
                <w:rFonts w:ascii="Calibri" w:hAnsi="Calibri" w:cs="Calibri"/>
                <w:color w:val="002060"/>
                <w:sz w:val="24"/>
                <w:szCs w:val="24"/>
              </w:rPr>
              <w:t>Indexing</w:t>
            </w:r>
          </w:p>
        </w:tc>
        <w:tc>
          <w:tcPr>
            <w:tcW w:w="6436" w:type="dxa"/>
            <w:vAlign w:val="center"/>
          </w:tcPr>
          <w:p w14:paraId="37913144" w14:textId="77777777" w:rsidR="00AE6149" w:rsidRPr="00AE6149" w:rsidRDefault="00AE6149" w:rsidP="003D2868">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AE6149">
              <w:rPr>
                <w:rFonts w:ascii="Calibri" w:hAnsi="Calibri" w:cs="Calibri"/>
                <w:sz w:val="24"/>
                <w:szCs w:val="24"/>
              </w:rPr>
              <w:t>Apply the framework to all the data by annotating the transcripts with numerical codes from the index, usually supported by short text descriptors to elaborate the index heading. Single passages of text can encompass several themes, each of which must be recorded, usually in the margin of the transcript.</w:t>
            </w:r>
          </w:p>
        </w:tc>
      </w:tr>
      <w:tr w:rsidR="00AE6149" w:rsidRPr="00AE6149" w14:paraId="78586258" w14:textId="77777777" w:rsidTr="003D2868">
        <w:trPr>
          <w:trHeight w:val="1355"/>
        </w:trPr>
        <w:tc>
          <w:tcPr>
            <w:cnfStyle w:val="001000000000" w:firstRow="0" w:lastRow="0" w:firstColumn="1" w:lastColumn="0" w:oddVBand="0" w:evenVBand="0" w:oddHBand="0" w:evenHBand="0" w:firstRowFirstColumn="0" w:firstRowLastColumn="0" w:lastRowFirstColumn="0" w:lastRowLastColumn="0"/>
            <w:tcW w:w="2106" w:type="dxa"/>
            <w:vAlign w:val="center"/>
          </w:tcPr>
          <w:p w14:paraId="3B3AAE6F" w14:textId="77777777" w:rsidR="00AE6149" w:rsidRPr="00AE6149" w:rsidRDefault="00AE6149" w:rsidP="003D2868">
            <w:pPr>
              <w:spacing w:after="0" w:line="240" w:lineRule="auto"/>
              <w:contextualSpacing/>
              <w:jc w:val="left"/>
              <w:rPr>
                <w:rFonts w:ascii="Calibri" w:hAnsi="Calibri" w:cs="Calibri"/>
                <w:color w:val="002060"/>
                <w:sz w:val="24"/>
                <w:szCs w:val="24"/>
              </w:rPr>
            </w:pPr>
            <w:r w:rsidRPr="00AE6149">
              <w:rPr>
                <w:rFonts w:ascii="Calibri" w:hAnsi="Calibri" w:cs="Calibri"/>
                <w:color w:val="002060"/>
                <w:sz w:val="24"/>
                <w:szCs w:val="24"/>
              </w:rPr>
              <w:t>Charting</w:t>
            </w:r>
          </w:p>
        </w:tc>
        <w:tc>
          <w:tcPr>
            <w:tcW w:w="6436" w:type="dxa"/>
            <w:vAlign w:val="center"/>
          </w:tcPr>
          <w:p w14:paraId="5542A247" w14:textId="77777777" w:rsidR="00AE6149" w:rsidRPr="00AE6149" w:rsidRDefault="00AE6149" w:rsidP="003D2868">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AE6149">
              <w:rPr>
                <w:rFonts w:ascii="Calibri" w:hAnsi="Calibri" w:cs="Calibri"/>
                <w:sz w:val="24"/>
                <w:szCs w:val="24"/>
              </w:rPr>
              <w:t>Rearrange the data into the thematic framework and create matrices. Unlike simple cut and paste methods that group verbatim text, the charts contain summaries of views and experiences. The charting process involves a considerable amount of abstraction and synthesis.</w:t>
            </w:r>
          </w:p>
        </w:tc>
      </w:tr>
      <w:tr w:rsidR="00AE6149" w:rsidRPr="00AE6149" w14:paraId="5E872EB4" w14:textId="77777777" w:rsidTr="003D2868">
        <w:trPr>
          <w:trHeight w:val="1830"/>
        </w:trPr>
        <w:tc>
          <w:tcPr>
            <w:cnfStyle w:val="001000000000" w:firstRow="0" w:lastRow="0" w:firstColumn="1" w:lastColumn="0" w:oddVBand="0" w:evenVBand="0" w:oddHBand="0" w:evenHBand="0" w:firstRowFirstColumn="0" w:firstRowLastColumn="0" w:lastRowFirstColumn="0" w:lastRowLastColumn="0"/>
            <w:tcW w:w="2106" w:type="dxa"/>
            <w:vAlign w:val="center"/>
          </w:tcPr>
          <w:p w14:paraId="71C1C107" w14:textId="77777777" w:rsidR="00AE6149" w:rsidRPr="00AE6149" w:rsidRDefault="00AE6149" w:rsidP="003D2868">
            <w:pPr>
              <w:spacing w:after="0" w:line="240" w:lineRule="auto"/>
              <w:contextualSpacing/>
              <w:jc w:val="left"/>
              <w:rPr>
                <w:rFonts w:ascii="Calibri" w:hAnsi="Calibri" w:cs="Calibri"/>
                <w:color w:val="002060"/>
                <w:sz w:val="24"/>
                <w:szCs w:val="24"/>
              </w:rPr>
            </w:pPr>
            <w:r w:rsidRPr="00AE6149">
              <w:rPr>
                <w:rFonts w:ascii="Calibri" w:hAnsi="Calibri" w:cs="Calibri"/>
                <w:color w:val="002060"/>
                <w:sz w:val="24"/>
                <w:szCs w:val="24"/>
              </w:rPr>
              <w:t>Mapping and interpretation</w:t>
            </w:r>
          </w:p>
        </w:tc>
        <w:tc>
          <w:tcPr>
            <w:tcW w:w="6436" w:type="dxa"/>
            <w:vAlign w:val="center"/>
          </w:tcPr>
          <w:p w14:paraId="31171B83" w14:textId="77777777" w:rsidR="00AE6149" w:rsidRPr="00AE6149" w:rsidRDefault="00AE6149" w:rsidP="003D2868">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AE6149">
              <w:rPr>
                <w:rFonts w:ascii="Calibri" w:hAnsi="Calibri" w:cs="Calibri"/>
                <w:sz w:val="24"/>
                <w:szCs w:val="24"/>
              </w:rPr>
              <w:t>Use the charts to define concepts, map the range and nature of phenomena, create typologies, and find associations between themes with a view to providing explanations for the findings. The process of mapping and interpretation is influenced by the original research objectives as well as by the themes that have emerged from the data themselves.</w:t>
            </w:r>
          </w:p>
        </w:tc>
      </w:tr>
    </w:tbl>
    <w:p w14:paraId="3D1BC94B" w14:textId="77777777" w:rsidR="000A1F9A" w:rsidRPr="00AE6149" w:rsidRDefault="000A1F9A">
      <w:pPr>
        <w:rPr>
          <w:rFonts w:ascii="Calibri" w:hAnsi="Calibri" w:cs="Calibri"/>
          <w:szCs w:val="24"/>
        </w:rPr>
      </w:pPr>
    </w:p>
    <w:sectPr w:rsidR="000A1F9A" w:rsidRPr="00AE61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49"/>
    <w:rsid w:val="000349A6"/>
    <w:rsid w:val="000A1F9A"/>
    <w:rsid w:val="005D5012"/>
    <w:rsid w:val="00A63304"/>
    <w:rsid w:val="00AE6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E86F"/>
  <w15:chartTrackingRefBased/>
  <w15:docId w15:val="{5662F047-47C3-49FF-813B-204B0D6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49"/>
    <w:pPr>
      <w:spacing w:after="240" w:line="360" w:lineRule="auto"/>
      <w:jc w:val="both"/>
    </w:pPr>
    <w:rPr>
      <w:rFonts w:ascii="Arial" w:hAnsi="Arial"/>
      <w:kern w:val="0"/>
      <w:szCs w:val="22"/>
      <w14:ligatures w14:val="none"/>
    </w:rPr>
  </w:style>
  <w:style w:type="paragraph" w:styleId="Heading1">
    <w:name w:val="heading 1"/>
    <w:basedOn w:val="Normal"/>
    <w:next w:val="Normal"/>
    <w:link w:val="Heading1Char"/>
    <w:uiPriority w:val="9"/>
    <w:qFormat/>
    <w:rsid w:val="00AE6149"/>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E6149"/>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E6149"/>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E6149"/>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AE6149"/>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AE6149"/>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E6149"/>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E6149"/>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E6149"/>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1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61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1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1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1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149"/>
    <w:rPr>
      <w:rFonts w:eastAsiaTheme="majorEastAsia" w:cstheme="majorBidi"/>
      <w:color w:val="272727" w:themeColor="text1" w:themeTint="D8"/>
    </w:rPr>
  </w:style>
  <w:style w:type="paragraph" w:styleId="Title">
    <w:name w:val="Title"/>
    <w:basedOn w:val="Normal"/>
    <w:next w:val="Normal"/>
    <w:link w:val="TitleChar"/>
    <w:uiPriority w:val="10"/>
    <w:qFormat/>
    <w:rsid w:val="00AE6149"/>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E61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149"/>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E6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149"/>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E6149"/>
    <w:rPr>
      <w:i/>
      <w:iCs/>
      <w:color w:val="404040" w:themeColor="text1" w:themeTint="BF"/>
    </w:rPr>
  </w:style>
  <w:style w:type="paragraph" w:styleId="ListParagraph">
    <w:name w:val="List Paragraph"/>
    <w:basedOn w:val="Normal"/>
    <w:uiPriority w:val="34"/>
    <w:qFormat/>
    <w:rsid w:val="00AE6149"/>
    <w:pPr>
      <w:spacing w:after="160" w:line="278" w:lineRule="auto"/>
      <w:ind w:left="720"/>
      <w:contextualSpacing/>
      <w:jc w:val="left"/>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AE6149"/>
    <w:rPr>
      <w:i/>
      <w:iCs/>
      <w:color w:val="0F4761" w:themeColor="accent1" w:themeShade="BF"/>
    </w:rPr>
  </w:style>
  <w:style w:type="paragraph" w:styleId="IntenseQuote">
    <w:name w:val="Intense Quote"/>
    <w:basedOn w:val="Normal"/>
    <w:next w:val="Normal"/>
    <w:link w:val="IntenseQuoteChar"/>
    <w:uiPriority w:val="30"/>
    <w:qFormat/>
    <w:rsid w:val="00AE614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E6149"/>
    <w:rPr>
      <w:i/>
      <w:iCs/>
      <w:color w:val="0F4761" w:themeColor="accent1" w:themeShade="BF"/>
    </w:rPr>
  </w:style>
  <w:style w:type="character" w:styleId="IntenseReference">
    <w:name w:val="Intense Reference"/>
    <w:basedOn w:val="DefaultParagraphFont"/>
    <w:uiPriority w:val="32"/>
    <w:qFormat/>
    <w:rsid w:val="00AE6149"/>
    <w:rPr>
      <w:b/>
      <w:bCs/>
      <w:smallCaps/>
      <w:color w:val="0F4761" w:themeColor="accent1" w:themeShade="BF"/>
      <w:spacing w:val="5"/>
    </w:rPr>
  </w:style>
  <w:style w:type="paragraph" w:styleId="Caption">
    <w:name w:val="caption"/>
    <w:basedOn w:val="Normal"/>
    <w:next w:val="Normal"/>
    <w:uiPriority w:val="35"/>
    <w:unhideWhenUsed/>
    <w:qFormat/>
    <w:rsid w:val="00AE6149"/>
    <w:pPr>
      <w:spacing w:after="0" w:line="240" w:lineRule="auto"/>
      <w:jc w:val="left"/>
    </w:pPr>
    <w:rPr>
      <w:i/>
      <w:iCs/>
      <w:sz w:val="22"/>
      <w:szCs w:val="18"/>
    </w:rPr>
  </w:style>
  <w:style w:type="table" w:styleId="GridTable1Light-Accent1">
    <w:name w:val="Grid Table 1 Light Accent 1"/>
    <w:basedOn w:val="TableNormal"/>
    <w:uiPriority w:val="46"/>
    <w:rsid w:val="00AE6149"/>
    <w:pPr>
      <w:spacing w:after="0" w:line="240" w:lineRule="auto"/>
    </w:pPr>
    <w:rPr>
      <w:kern w:val="0"/>
      <w:sz w:val="22"/>
      <w:szCs w:val="22"/>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1392</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
    </vt:vector>
  </TitlesOfParts>
  <Company>Great Ormond Street Hospital</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Shkurka</dc:creator>
  <cp:keywords/>
  <dc:description/>
  <cp:lastModifiedBy>Emma Shkurka</cp:lastModifiedBy>
  <cp:revision>1</cp:revision>
  <dcterms:created xsi:type="dcterms:W3CDTF">2026-03-25T14:21:00Z</dcterms:created>
  <dcterms:modified xsi:type="dcterms:W3CDTF">2026-03-25T14:41:00Z</dcterms:modified>
</cp:coreProperties>
</file>